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Приложение № </w:t>
      </w:r>
      <w:r w:rsidR="00BA3584">
        <w:rPr>
          <w:sz w:val="24"/>
          <w:szCs w:val="24"/>
        </w:rPr>
        <w:t>2</w:t>
      </w:r>
      <w:r>
        <w:rPr>
          <w:sz w:val="24"/>
          <w:szCs w:val="24"/>
        </w:rPr>
        <w:t xml:space="preserve"> к постановлению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Муромцевского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района Омской области 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0F67FE">
        <w:rPr>
          <w:sz w:val="24"/>
          <w:szCs w:val="24"/>
        </w:rPr>
        <w:t>27</w:t>
      </w:r>
      <w:r w:rsidR="009D6D49">
        <w:rPr>
          <w:sz w:val="24"/>
          <w:szCs w:val="24"/>
        </w:rPr>
        <w:t>.02.2026</w:t>
      </w:r>
      <w:r>
        <w:rPr>
          <w:sz w:val="24"/>
          <w:szCs w:val="24"/>
        </w:rPr>
        <w:t xml:space="preserve"> </w:t>
      </w:r>
      <w:r w:rsidRPr="002C56B6">
        <w:rPr>
          <w:sz w:val="24"/>
          <w:szCs w:val="24"/>
        </w:rPr>
        <w:t xml:space="preserve">№ </w:t>
      </w:r>
      <w:r w:rsidR="000F67FE">
        <w:rPr>
          <w:sz w:val="24"/>
          <w:szCs w:val="24"/>
        </w:rPr>
        <w:t>5</w:t>
      </w:r>
      <w:r w:rsidR="00BA3584">
        <w:rPr>
          <w:sz w:val="24"/>
          <w:szCs w:val="24"/>
        </w:rPr>
        <w:t>8</w:t>
      </w:r>
      <w:r w:rsidRPr="002C56B6">
        <w:rPr>
          <w:sz w:val="24"/>
          <w:szCs w:val="24"/>
        </w:rPr>
        <w:t>-п</w:t>
      </w:r>
    </w:p>
    <w:p w:rsidR="00415635" w:rsidRDefault="00415635" w:rsidP="00415635">
      <w:pPr>
        <w:pStyle w:val="ConsPlusCell"/>
        <w:jc w:val="right"/>
        <w:rPr>
          <w:sz w:val="24"/>
          <w:szCs w:val="24"/>
        </w:rPr>
      </w:pP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Приложение № 4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к муниципальной программе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Омской области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«Развитие социально-культурной сферы Муромцевского </w:t>
      </w:r>
    </w:p>
    <w:p w:rsidR="00415635" w:rsidRPr="003629AB" w:rsidRDefault="00415635" w:rsidP="00415635">
      <w:pPr>
        <w:pStyle w:val="ConsPlusCell"/>
        <w:jc w:val="right"/>
        <w:rPr>
          <w:sz w:val="24"/>
          <w:szCs w:val="24"/>
        </w:rPr>
      </w:pPr>
      <w:r w:rsidRPr="003629AB">
        <w:rPr>
          <w:sz w:val="24"/>
          <w:szCs w:val="24"/>
        </w:rPr>
        <w:t xml:space="preserve">муниципального района  Омской области» </w:t>
      </w:r>
    </w:p>
    <w:p w:rsidR="00415635" w:rsidRDefault="00415635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Подпрограмма «Развитие культуры и туризма </w:t>
      </w:r>
    </w:p>
    <w:p w:rsidR="004061C4" w:rsidRPr="00D07F24" w:rsidRDefault="004061C4" w:rsidP="004061C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F24">
        <w:rPr>
          <w:rFonts w:ascii="Times New Roman" w:hAnsi="Times New Roman" w:cs="Times New Roman"/>
          <w:b/>
          <w:sz w:val="24"/>
          <w:szCs w:val="24"/>
        </w:rPr>
        <w:t xml:space="preserve">Муромцевского муниципального района Омской области» 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061C4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Раздел 1. Паспорт подпрограммы муниципальной программы</w:t>
      </w:r>
    </w:p>
    <w:p w:rsidR="004061C4" w:rsidRPr="003629AB" w:rsidRDefault="004061C4" w:rsidP="004061C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48"/>
        <w:gridCol w:w="4500"/>
      </w:tblGrid>
      <w:tr w:rsidR="004061C4" w:rsidRPr="003629AB" w:rsidTr="00BA3584">
        <w:tc>
          <w:tcPr>
            <w:tcW w:w="5148" w:type="dxa"/>
            <w:vAlign w:val="center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муниципальной программы Муромцевского муниципального района Омской области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BA358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социально-культурной сферы Муромцевского муниципального района  Омской области» (далее – муниципальная программа)</w:t>
            </w:r>
          </w:p>
        </w:tc>
      </w:tr>
      <w:tr w:rsidR="004061C4" w:rsidRPr="003629AB" w:rsidTr="00BA3584">
        <w:tc>
          <w:tcPr>
            <w:tcW w:w="5148" w:type="dxa"/>
            <w:vAlign w:val="center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подпрограммы муниципальной программы Муромцевского муниципального района (далее – подпрограмма)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BA358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629AB">
              <w:rPr>
                <w:rFonts w:ascii="Times New Roman" w:hAnsi="Times New Roman" w:cs="Times New Roman"/>
                <w:sz w:val="24"/>
                <w:szCs w:val="24"/>
              </w:rPr>
              <w:t>«Развитие культуры и туризма Муромцевского муниципального района Омской области» (далее – подпрограмма)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 Администрации Муромцевского муниципального района Омской области (далее–Комитет культуры)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Наименование исполнительно-распорядительного органа Муромцевского муниципального района Омской области, являющегося исполнителем основного мероприятия, исполнителем ведомственной целевой 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культуры, Администрация Муромцевского муниципального района Омской области (далее - Администрация)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исполнительно-распорядительного органа Муромцевского муниципального района Омской области, являющегося исполнителем мероприятия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Комитет культуры</w:t>
            </w:r>
          </w:p>
        </w:tc>
      </w:tr>
      <w:tr w:rsidR="004061C4" w:rsidRPr="003629AB" w:rsidTr="00BA3584"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pStyle w:val="ConsPlusCell"/>
              <w:jc w:val="both"/>
              <w:rPr>
                <w:sz w:val="24"/>
                <w:szCs w:val="24"/>
              </w:rPr>
            </w:pPr>
            <w:r w:rsidRPr="003629AB">
              <w:rPr>
                <w:sz w:val="24"/>
                <w:szCs w:val="24"/>
              </w:rPr>
              <w:t>2022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–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2030</w:t>
            </w:r>
            <w:r w:rsidRPr="003629AB">
              <w:rPr>
                <w:sz w:val="24"/>
                <w:szCs w:val="24"/>
                <w:lang w:val="en-US"/>
              </w:rPr>
              <w:t xml:space="preserve"> </w:t>
            </w:r>
            <w:r w:rsidRPr="003629AB">
              <w:rPr>
                <w:sz w:val="24"/>
                <w:szCs w:val="24"/>
              </w:rPr>
              <w:t>годы</w:t>
            </w:r>
          </w:p>
        </w:tc>
      </w:tr>
      <w:tr w:rsidR="004061C4" w:rsidRPr="003629AB" w:rsidTr="00BA3584">
        <w:trPr>
          <w:trHeight w:val="401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образования, обеспечение жителям Муромцевского района доступа к знаниям, информации и культурным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ценностям,  развития туризма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Муромцевском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 Омской области </w:t>
            </w:r>
          </w:p>
        </w:tc>
      </w:tr>
      <w:tr w:rsidR="004061C4" w:rsidRPr="003629AB" w:rsidTr="00BA3584">
        <w:trPr>
          <w:trHeight w:val="328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4500" w:type="dxa"/>
            <w:shd w:val="clear" w:color="auto" w:fill="auto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 Создание условий для обеспечения населения района услугами культуры.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и поддержка творческой деятельности; создание условий по сохранению нематериального культурного наследия.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Создание условий для повышения качества и разнообразия услуг, предоставляемых  в сфере культуры, развитие кадрового потенциала.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; перевод в электронный вид библиотечных, музейных кино-, фото-, видео- и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аудиофондов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>, создание инфраструктуры доступа населения к ним с использованием сети Интернет).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Укрепление и развитие материально-технической базы учреждений культуры муниципального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Формирование и развитие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туристской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дестинации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Муромцевского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Повышение качества туристских услуг.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туристского продукта Муромцевского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9.Обеспечение информационного противодействия идеологии экстремизма и терроризма на территории Муромцевского района.</w:t>
            </w:r>
          </w:p>
        </w:tc>
      </w:tr>
      <w:tr w:rsidR="004061C4" w:rsidRPr="003629AB" w:rsidTr="00BA3584">
        <w:trPr>
          <w:trHeight w:val="709"/>
        </w:trPr>
        <w:tc>
          <w:tcPr>
            <w:tcW w:w="514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Перечень основных мероприятий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1. Обеспечение доступа населения к услугам культуры.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 Развитие самодеятельного художественного и народного творчества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3. Сохранение и развитие народной традиционной культуры и детского творчества.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4. Сохранение и эффективное использование культурного наследия Муромцевского района.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Административно-хозяйственное обслуживание учреждений культуры.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6. Создание и модернизация туристских объектов.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Выставочная и презентационная деятельность в сфере туризма.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Продвижение туристских ресурсов Муромцевского района на внутреннем и международном туристских рынках.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9. Осуществление информационно-идеологических мероприятий по противодействию идеологии терроризма и проявления экстремизма.</w:t>
            </w:r>
          </w:p>
        </w:tc>
      </w:tr>
      <w:tr w:rsidR="004061C4" w:rsidRPr="003629AB" w:rsidTr="00BA3584">
        <w:trPr>
          <w:trHeight w:val="701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Объемы и источники финансирования подпрограммы в целом и по годам ее реализации </w:t>
            </w:r>
          </w:p>
        </w:tc>
        <w:tc>
          <w:tcPr>
            <w:tcW w:w="4500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финансирования подпрограммы за счет всех источников финансирования 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67FE">
              <w:rPr>
                <w:rFonts w:ascii="Times New Roman" w:hAnsi="Times New Roman"/>
                <w:sz w:val="24"/>
                <w:szCs w:val="24"/>
              </w:rPr>
              <w:t> 493 487 182</w:t>
            </w:r>
            <w:r w:rsidR="00BA3584">
              <w:rPr>
                <w:rFonts w:ascii="Times New Roman" w:hAnsi="Times New Roman"/>
                <w:sz w:val="24"/>
                <w:szCs w:val="24"/>
              </w:rPr>
              <w:t>,93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BA3584"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127 656 043,35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135 950 705,60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158 291 715,60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9D6D49">
              <w:rPr>
                <w:rFonts w:ascii="Times New Roman" w:hAnsi="Times New Roman"/>
                <w:sz w:val="24"/>
                <w:szCs w:val="24"/>
              </w:rPr>
              <w:t>161 478 050,73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BA3584">
              <w:rPr>
                <w:rFonts w:ascii="Times New Roman" w:hAnsi="Times New Roman"/>
                <w:sz w:val="24"/>
                <w:szCs w:val="24"/>
              </w:rPr>
              <w:t>179</w:t>
            </w:r>
            <w:r w:rsidR="000F67FE">
              <w:rPr>
                <w:rFonts w:ascii="Times New Roman" w:hAnsi="Times New Roman"/>
                <w:sz w:val="24"/>
                <w:szCs w:val="24"/>
              </w:rPr>
              <w:t> 268 167</w:t>
            </w:r>
            <w:r w:rsidR="00BA3584">
              <w:rPr>
                <w:rFonts w:ascii="Times New Roman" w:hAnsi="Times New Roman"/>
                <w:sz w:val="24"/>
                <w:szCs w:val="24"/>
              </w:rPr>
              <w:t>,65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0F67FE">
              <w:rPr>
                <w:rFonts w:ascii="Times New Roman" w:hAnsi="Times New Roman"/>
                <w:sz w:val="24"/>
                <w:szCs w:val="24"/>
              </w:rPr>
              <w:t>178 042 5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 w:rsidR="00BA3584">
              <w:rPr>
                <w:rFonts w:ascii="Times New Roman" w:hAnsi="Times New Roman"/>
                <w:sz w:val="24"/>
                <w:szCs w:val="24"/>
              </w:rPr>
              <w:t>179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178 000 000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BA35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местного бюджета на реализацию подпрограммы составляет 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F67FE">
              <w:rPr>
                <w:rFonts w:ascii="Times New Roman" w:hAnsi="Times New Roman"/>
                <w:sz w:val="24"/>
                <w:szCs w:val="24"/>
              </w:rPr>
              <w:t> 295 513 658</w:t>
            </w:r>
            <w:r w:rsidR="00BA3584">
              <w:rPr>
                <w:rFonts w:ascii="Times New Roman" w:hAnsi="Times New Roman"/>
                <w:sz w:val="24"/>
                <w:szCs w:val="24"/>
              </w:rPr>
              <w:t>,10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9D6D49"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91 108 652,17 рубля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/>
                <w:sz w:val="24"/>
                <w:szCs w:val="24"/>
              </w:rPr>
              <w:t>95 614 501,60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/>
                <w:sz w:val="24"/>
                <w:szCs w:val="24"/>
              </w:rPr>
              <w:t>108 794 958,26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  <w:r w:rsidR="009D6D49">
              <w:rPr>
                <w:rFonts w:ascii="Times New Roman" w:hAnsi="Times New Roman"/>
                <w:sz w:val="24"/>
                <w:szCs w:val="24"/>
              </w:rPr>
              <w:t>105 884 878,42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 w:rsidR="009D6D49"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 w:rsidR="000F67FE">
              <w:rPr>
                <w:rFonts w:ascii="Times New Roman" w:hAnsi="Times New Roman"/>
                <w:sz w:val="24"/>
                <w:szCs w:val="24"/>
              </w:rPr>
              <w:t>179 068 167</w:t>
            </w:r>
            <w:r w:rsidR="00BA3584">
              <w:rPr>
                <w:rFonts w:ascii="Times New Roman" w:hAnsi="Times New Roman"/>
                <w:sz w:val="24"/>
                <w:szCs w:val="24"/>
              </w:rPr>
              <w:t>,65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 w:rsidR="000F67FE">
              <w:rPr>
                <w:rFonts w:ascii="Times New Roman" w:hAnsi="Times New Roman"/>
                <w:sz w:val="24"/>
                <w:szCs w:val="24"/>
              </w:rPr>
              <w:t>177 842 500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179 600 000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177 800 000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179 800 000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областного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 </w:t>
            </w:r>
            <w:r>
              <w:rPr>
                <w:rFonts w:ascii="Times New Roman" w:hAnsi="Times New Roman"/>
                <w:sz w:val="24"/>
                <w:szCs w:val="24"/>
              </w:rPr>
              <w:t>172</w:t>
            </w:r>
            <w:r w:rsidR="009D6D49">
              <w:rPr>
                <w:rFonts w:ascii="Times New Roman" w:hAnsi="Times New Roman"/>
                <w:sz w:val="24"/>
                <w:szCs w:val="24"/>
              </w:rPr>
              <w:t> 787 028,03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в том числе: 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32 425 562,49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39 330 183,60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47 216 838,94 рубля;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>53</w:t>
            </w:r>
            <w:r w:rsidR="009D6D49">
              <w:rPr>
                <w:rFonts w:ascii="Times New Roman" w:hAnsi="Times New Roman"/>
                <w:sz w:val="24"/>
                <w:szCs w:val="24"/>
              </w:rPr>
              <w:t> 814 443,00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рубля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Общий объем расходов </w:t>
            </w:r>
            <w:r>
              <w:rPr>
                <w:rFonts w:ascii="Times New Roman" w:hAnsi="Times New Roman"/>
                <w:sz w:val="24"/>
                <w:szCs w:val="24"/>
              </w:rPr>
              <w:t>федерального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бюджета на реализацию подпрограммы составляет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3584">
              <w:rPr>
                <w:rFonts w:ascii="Times New Roman" w:hAnsi="Times New Roman"/>
                <w:sz w:val="24"/>
                <w:szCs w:val="24"/>
              </w:rPr>
              <w:t>25 186 496,80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, в том числе: 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2022 год – </w:t>
            </w:r>
            <w:r>
              <w:rPr>
                <w:rFonts w:ascii="Times New Roman" w:hAnsi="Times New Roman"/>
                <w:sz w:val="24"/>
                <w:szCs w:val="24"/>
              </w:rPr>
              <w:t>4 121 828,69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  <w:r>
              <w:rPr>
                <w:rFonts w:ascii="Times New Roman" w:hAnsi="Times New Roman"/>
                <w:sz w:val="24"/>
                <w:szCs w:val="24"/>
              </w:rPr>
              <w:t>1 006 020,40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2024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2 279 918,40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рубл</w:t>
            </w:r>
            <w:r>
              <w:rPr>
                <w:rFonts w:ascii="Times New Roman" w:hAnsi="Times New Roman"/>
                <w:sz w:val="24"/>
                <w:szCs w:val="24"/>
              </w:rPr>
              <w:t>я;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1 778 729,31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2028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2029 год – </w:t>
            </w:r>
            <w:r>
              <w:rPr>
                <w:rFonts w:ascii="Times New Roman" w:hAnsi="Times New Roman"/>
                <w:sz w:val="24"/>
                <w:szCs w:val="24"/>
              </w:rPr>
              <w:t>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рублей;</w:t>
            </w:r>
          </w:p>
          <w:p w:rsidR="004061C4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2030 год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35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200 000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>,00 рублей.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Источниками финансирования подпрограммы являются поступления налоговых и неналоговых доходов местного бюджета, поступлений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целевого и нецелевого характера из областного и федерального бюджетов.</w:t>
            </w:r>
            <w:proofErr w:type="gramEnd"/>
          </w:p>
        </w:tc>
      </w:tr>
      <w:tr w:rsidR="004061C4" w:rsidRPr="003629AB" w:rsidTr="00BA3584">
        <w:trPr>
          <w:trHeight w:val="697"/>
        </w:trPr>
        <w:tc>
          <w:tcPr>
            <w:tcW w:w="5148" w:type="dxa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Ожидаемые результаты реализации подпрограммы (по годам и по итогам реализации) </w:t>
            </w:r>
          </w:p>
        </w:tc>
        <w:tc>
          <w:tcPr>
            <w:tcW w:w="4500" w:type="dxa"/>
            <w:vAlign w:val="center"/>
          </w:tcPr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1.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Повышение уровня удовлетворенности населения качеством предоставления услуг в сфере культуры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87%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91%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93%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99%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2.</w:t>
            </w:r>
            <w:r w:rsidRPr="003629AB">
              <w:rPr>
                <w:rFonts w:ascii="Times New Roman" w:hAnsi="Times New Roman"/>
                <w:sz w:val="24"/>
                <w:szCs w:val="24"/>
              </w:rPr>
              <w:tab/>
              <w:t>Увеличение численности населения, участвующего в платных досуговых мероприятиях: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9216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9308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9401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9495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2026 год – 9589 человек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9684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9780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9877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9975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культуры (2022 – 2030 года – 100% ежегодно)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- работников дополнительного образования в сфере культуры (2022 – 2030 года – 100% ежегодно)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5. Доля учреждений культуры, имеющие доступ в Интернет в хорошем качестве скорости (КДУ, библиотеки, музеи)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85%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90%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95%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95%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97%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– 100%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6. Увеличение количества туристских объектов, в том числе гостиниц, гостевых домов, туристических баз,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площадок для отдыха, предприятий общественного питания, развлекательных учреждений, предприятий культурно-массового обслуживания (шт.) в сфере туризма к 2030 году до 30 единиц, в том числе: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15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2024 год – 17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2025 год – 18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2026 год – 20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2027 год – 22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2028 год – 25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2029 год – 28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 2030 год – 30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7. Увеличение количества мест, размещенных в коллективных средствах размещения, в том числе: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1300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1350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1370 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1600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 1800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1800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2000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–2000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–2100 единиц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8. Увеличение численности занятого населения в сфере туризма, в том числе: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70  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80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90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100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115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120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– 140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 150человек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 150 человек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9. Прирост количества организаций (общественных организаций, образовательных учреждений, частных предпринимателей), задействованных в сфере туризма 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2022 год – 2   единицы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2023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2024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2025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2026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2027 год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2028 год  – 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2029 год  –1 единица</w:t>
            </w:r>
          </w:p>
          <w:p w:rsidR="004061C4" w:rsidRPr="003629AB" w:rsidRDefault="004061C4" w:rsidP="00BA358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2030 год  –1 единица</w:t>
            </w:r>
          </w:p>
        </w:tc>
      </w:tr>
    </w:tbl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Раздел 2. Сфера социально-экономического развития Муромцевского муниципального района Омской области,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сфере культуры Муромцевского муниципального района 72 учреждения. 9 юридических лиц –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культурно-досуговый центр «Альтернатива» (МБМУК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КДЦ «Альтернатива») - 34 сетевые единицы,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«Централизованная библиотечная система» (МБМУК «ЦБС» – 28 сетевых единиц,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Центр русской традиционной культуры «Родники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Сибирские» (МБМУК ЦРТК «Родники Сибирские»),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кинодосуговый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центр» (МБМУК КДЦ),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Муромцевского муниципального района Омской области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 (МБМУК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историко-краеведческий музей»), муниципальное казенное образовательное учреждение дополнительного образования «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искусств» Администрации Муромцевского муниципального района Омской области (МКОУДО «МДШИ»), муниципальное казенное учреждение дополнительного образования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детей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Муромцевская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детская школа искусств «Школа ремесел» Администрации Муромцевского муниципального района Омской области (МКУДОД ДШИ «Школа ремесел»), Муниципальное бюджетное </w:t>
      </w:r>
      <w:proofErr w:type="spellStart"/>
      <w:r w:rsidRPr="003629AB">
        <w:rPr>
          <w:rFonts w:ascii="Times New Roman" w:hAnsi="Times New Roman"/>
          <w:sz w:val="24"/>
          <w:szCs w:val="24"/>
        </w:rPr>
        <w:t>межпоселенческое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учреждение культуры и туризма «Пять озер – Муромцево» (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Муромцево»), Муниципальное казенное учреждение культуры «Центр обеспечения в сфере культуры» (МКУК «Центр обеспечения в сфере культуры». 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 xml:space="preserve">В ходе реализации муниципальной программы Муромцевского муниципального района Омской области «Развитие социально-культурной сферы Муромцевского муниципального района  Омской области» подпрограмма «Развитие культуры и туризма Муромцевского муниципального района Омской области» на 2014-2023 годы удалось преодолеть наметившуюся тенденцию к спаду в развитии культуры, добиться расширения форм и объемов участия района в поддержке сферы культуры. </w:t>
      </w:r>
      <w:proofErr w:type="gramEnd"/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Ежегодно на территории района проводится большое количество социально-значимых мероприятий, в организацию которых все активнее включается население района, увеличивается количество участников творческих объединений, клубов по интересам. Так, в 2020 году на территории района работало 283 клубных формирования, с количеством участников 2867 человек. В рамках программы, реализуемой в 2014-2023 годах, были приобретены звуковая и световая аппаратура, компьютерная и другая оргтехника  для культурно-досуговых учреждений района.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Приоритетной задачей библиотечной системы района является доступность населения к информации, как на бумажных носителях, так и в электронном варианте. В 2020 году число зарегистрированных пользователей составило 17686 человек. Размер совокупного библиотечного фонда составляет  378060 экземпляров. Доступ читателей к книжным фондам и через информационные ресурсы к другим библиотекам России осуществляется на безвозмездной основе.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МБМУК КДЦ в 2016 году был оборудован современным 3</w:t>
      </w:r>
      <w:r w:rsidRPr="003629AB">
        <w:rPr>
          <w:rFonts w:ascii="Times New Roman" w:hAnsi="Times New Roman"/>
          <w:sz w:val="24"/>
          <w:szCs w:val="24"/>
          <w:lang w:val="en-US"/>
        </w:rPr>
        <w:t>D</w:t>
      </w:r>
      <w:r w:rsidRPr="003629AB">
        <w:rPr>
          <w:rFonts w:ascii="Times New Roman" w:hAnsi="Times New Roman"/>
          <w:sz w:val="24"/>
          <w:szCs w:val="24"/>
        </w:rPr>
        <w:t xml:space="preserve"> оборудованием. В 2019 году в рамках Национального проекта Культура был отремонтирован фасад здания, а именно крыльцо и крыша на общую сумму 1млн 300 тыс. руб.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Улучшение материально-технической базы учреждений дополнительного образования детей – фактор качественного предоставления художественного образования. Контингент учащихся на протяжении последних лет остается стабильным, что также дает положительную оценку предоставления данной услуги. В рамках государственных программ детские школы обеспечиваются оборудованием и музыкальными инструментами. В рамках программы капитального ремонта детских школ искусств в 2021 году здание МКОУДО «МДШИ» отремонтировано на сумму 5500 тыс. рублей.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Основным ресурсом, обеспечивающим развитие отрасли, являются кадры. Повышение профессионального уровня и квалификация работников культуры позволяет расширить спектр и улучшить качество оказания услуг, ускорить внедрение инновационных методов работы.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Вместе с тем многие проблемы сферы культуры пока остаются нерешенными.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Материально-техническая база учреждений культуры не соответствует современным стандартам, информационным и культурным запросам населения района. Кадровый потенциал сферы культуры характеризуется рядом нерешенных проблем, включая недостаток квалифицированных специалистов и опытных менеджеров – руководителей, проблемы жилищной обеспеченности работников, слабый приток молодых специалистов в отрасли и как следствие, старение кадров.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Большинство зданий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в которых находятся учреждения культуры нуждаются в капитальном ремонте как самого здания, так и внутренних коммуникаций.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Без полноценного и гарантированного ресурсного обеспечения (финансового, материального, информационного, кадрового, методического) услуги культуры становятся неконкурентоспособными. В этом случае потребитель начинает отдавать предпочтение более ярким, но менее содержательным услугам. Вследствие чего уменьшается возможность населения, особенно детей и молодежи, принимать активное участие в культурной жизни района.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Анализ показывает, что поддержка учреждений культуры позволит не только сохранить имеющийся богатый творческий потенциал района, но и  использовать его как постоянный источник исполнения бюджета.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Составляющие культурного пространства – конкурсы, фестивали, музыкальное искусство, высокий культурный и духовный уровень развития стали визитной карточкой района. Накопленный в отрасли культуры потенциал стал стратегическим фактором, определяющим позитивное социально-экономическое развитие района. Сохранение, закрепление достигнутых результатов и дальнейшее развитие отрасли не представляется возможным без принятия мер, направленных на решение конкретных задач каждого из основных направлений.  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По мере экономического роста все большее значение для экономики приобретает сфера услуг, среди которых особое место отведено туризму. Анализ ситуации в сфере туризма на территории Муромцевского района показал, что данная отрасль находится в процессе развития: обладая уникальным архитектурным, культурно-историческим и природным наследием,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район имеет большой туристический потенциал, что делает его привлекательным для развития въездного туризма.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На территории Муромцевского муниципального района располагается 202 объекта культурного наследия, в том числе 164 объекта археологического наследия, включенных в единый государственный реестр объектов культурного наследия.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Основным брендом района является Край пяти озер. На территории района располагаются пять озер, с уникальными свойствами воды и разнообразием растительного и животного мира: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, Щучье, Данилово, Шайтан. Последнее озеро именуют </w:t>
      </w:r>
      <w:proofErr w:type="gramStart"/>
      <w:r w:rsidRPr="003629AB">
        <w:rPr>
          <w:rFonts w:ascii="Times New Roman" w:hAnsi="Times New Roman"/>
          <w:sz w:val="24"/>
          <w:szCs w:val="24"/>
        </w:rPr>
        <w:t>Потаенным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, и его расположение достоверно не известно.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На территории Муромцевского муниципального района находится 11 мест размещения (гостиничный комплекс «Биатлон», 6 гостевых домов, 4 базы отдыха), готовые принять в летний туристический сезон до  1300 туристов. Инфраструктуру гостеприимства составляют: </w:t>
      </w:r>
      <w:proofErr w:type="gramStart"/>
      <w:r w:rsidRPr="003629AB">
        <w:rPr>
          <w:rFonts w:ascii="Times New Roman" w:hAnsi="Times New Roman"/>
          <w:sz w:val="24"/>
          <w:szCs w:val="24"/>
        </w:rPr>
        <w:t xml:space="preserve">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М.С. (база отдыха «Серебряный берег»),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Роденко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С.Г. (гостиный дом «Серебряный берег»), ООО «Ермак» (Тюменцев С.В., гостиный дом «Ермак»,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>), УВЗ «</w:t>
      </w:r>
      <w:proofErr w:type="spellStart"/>
      <w:r w:rsidRPr="003629AB">
        <w:rPr>
          <w:rFonts w:ascii="Times New Roman" w:hAnsi="Times New Roman"/>
          <w:sz w:val="24"/>
          <w:szCs w:val="24"/>
        </w:rPr>
        <w:t>ОмскТрансМаш</w:t>
      </w:r>
      <w:proofErr w:type="spellEnd"/>
      <w:r w:rsidRPr="003629AB">
        <w:rPr>
          <w:rFonts w:ascii="Times New Roman" w:hAnsi="Times New Roman"/>
          <w:sz w:val="24"/>
          <w:szCs w:val="24"/>
        </w:rPr>
        <w:t>»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с. </w:t>
      </w:r>
      <w:proofErr w:type="spellStart"/>
      <w:r w:rsidRPr="003629AB">
        <w:rPr>
          <w:rFonts w:ascii="Times New Roman" w:hAnsi="Times New Roman"/>
          <w:sz w:val="24"/>
          <w:szCs w:val="24"/>
        </w:rPr>
        <w:t>Артын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Омский областной центр спортивной подготовки «Биатлонный центр» (п. Петропавловка),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(база отдыха «Пять озер»), ИП Иванов А.Г. (база отдыха «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Игоревские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дали»,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Игоревка</w:t>
      </w:r>
      <w:proofErr w:type="spellEnd"/>
      <w:proofErr w:type="gramEnd"/>
      <w:r w:rsidRPr="003629AB">
        <w:rPr>
          <w:rFonts w:ascii="Times New Roman" w:hAnsi="Times New Roman"/>
          <w:sz w:val="24"/>
          <w:szCs w:val="24"/>
        </w:rPr>
        <w:t xml:space="preserve">), ИП Репина С.О. (гостиный дом «Ладное подворье»,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3629AB">
        <w:rPr>
          <w:rFonts w:ascii="Times New Roman" w:hAnsi="Times New Roman"/>
          <w:sz w:val="24"/>
          <w:szCs w:val="24"/>
        </w:rPr>
        <w:t>Колеснива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Т.В. (</w:t>
      </w:r>
      <w:proofErr w:type="spellStart"/>
      <w:r w:rsidRPr="003629AB">
        <w:rPr>
          <w:rFonts w:ascii="Times New Roman" w:hAnsi="Times New Roman"/>
          <w:sz w:val="24"/>
          <w:szCs w:val="24"/>
        </w:rPr>
        <w:t>гостинный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дом «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ИП </w:t>
      </w:r>
      <w:proofErr w:type="spellStart"/>
      <w:r w:rsidRPr="003629AB">
        <w:rPr>
          <w:rFonts w:ascii="Times New Roman" w:hAnsi="Times New Roman"/>
          <w:sz w:val="24"/>
          <w:szCs w:val="24"/>
        </w:rPr>
        <w:t>Грузденко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О. (Центр здоровья «</w:t>
      </w:r>
      <w:proofErr w:type="spellStart"/>
      <w:r w:rsidRPr="003629AB">
        <w:rPr>
          <w:rFonts w:ascii="Times New Roman" w:hAnsi="Times New Roman"/>
          <w:sz w:val="24"/>
          <w:szCs w:val="24"/>
        </w:rPr>
        <w:t>Солеолис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», 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), Гостевой двор «Садху» (д. </w:t>
      </w:r>
      <w:proofErr w:type="spellStart"/>
      <w:r w:rsidRPr="003629AB">
        <w:rPr>
          <w:rFonts w:ascii="Times New Roman" w:hAnsi="Times New Roman"/>
          <w:sz w:val="24"/>
          <w:szCs w:val="24"/>
        </w:rPr>
        <w:t>Окунево</w:t>
      </w:r>
      <w:proofErr w:type="spellEnd"/>
      <w:r w:rsidRPr="003629AB">
        <w:rPr>
          <w:rFonts w:ascii="Times New Roman" w:hAnsi="Times New Roman"/>
          <w:sz w:val="24"/>
          <w:szCs w:val="24"/>
        </w:rPr>
        <w:t>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За последние годы посещение отдыхающими отдельно расположенных туристических мест Муромцевского муниципального района в общей сложности составляет около 60 тысяч человек в год.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ab/>
        <w:t xml:space="preserve">В сфере культуры Муромцевского района вопросами развития туристической сферы занимаются  </w:t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Муромцево», основными направлениями деятельности которого являются: создание условий, способствующих развитию въездного и внутреннего туризма, предоставление информационных услуг, проведение экскурсионных программ, спортивно-оздоровительных, культурно-массовых, событийных мероприятий.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spellStart"/>
      <w:r w:rsidRPr="003629AB">
        <w:rPr>
          <w:rFonts w:ascii="Times New Roman" w:hAnsi="Times New Roman"/>
          <w:sz w:val="24"/>
          <w:szCs w:val="24"/>
        </w:rPr>
        <w:t>МБМУКиТ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«Пять озер – Муромцево» разрабатывает и предоставляет туристам различные экскурсионные программы: автобусные, пешеходные, лыжные, водные, конные.  Так же проходит паспортизация школьных, семейных и спортивно оздоровительных маршрутов. На начало 2021 года учреждением разработано 9 туристических маршрутов. </w:t>
      </w:r>
    </w:p>
    <w:p w:rsidR="004061C4" w:rsidRPr="003629AB" w:rsidRDefault="004061C4" w:rsidP="004061C4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На данный момент на территории Муромцевского муниципального района создано 5 инвестиционных площадок.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 Инвестиционная площадка «Въездная стела» расположена на въезде в поселок Муромцево, вид разрешенной деятельности – рекреационная.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«Зеленый остров», расположена в границах земель населенного пункта, </w:t>
      </w:r>
      <w:proofErr w:type="spellStart"/>
      <w:r w:rsidRPr="003629AB">
        <w:t>р.п</w:t>
      </w:r>
      <w:proofErr w:type="spellEnd"/>
      <w:r w:rsidRPr="003629AB">
        <w:t xml:space="preserve">. Муромцево, ул. </w:t>
      </w:r>
      <w:proofErr w:type="gramStart"/>
      <w:r w:rsidRPr="003629AB">
        <w:t>Паромная</w:t>
      </w:r>
      <w:proofErr w:type="gramEnd"/>
      <w:r w:rsidRPr="003629AB">
        <w:t xml:space="preserve"> 2а, вид разрешенной деятельности – размещение гостиниц.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спортивного туризма», расположена в границах населенного пункта, </w:t>
      </w:r>
      <w:proofErr w:type="spellStart"/>
      <w:r w:rsidRPr="003629AB">
        <w:t>рп</w:t>
      </w:r>
      <w:proofErr w:type="spellEnd"/>
      <w:r w:rsidRPr="003629AB">
        <w:t xml:space="preserve"> Муромцево, </w:t>
      </w:r>
      <w:proofErr w:type="spellStart"/>
      <w:proofErr w:type="gramStart"/>
      <w:r w:rsidRPr="003629AB">
        <w:t>ул</w:t>
      </w:r>
      <w:proofErr w:type="spellEnd"/>
      <w:proofErr w:type="gramEnd"/>
      <w:r w:rsidRPr="003629AB">
        <w:t xml:space="preserve"> Зверопромхозовская,20. Вид разрешенного пользования – объекты спортивно-оздоровительного назначения. 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«База отдыха </w:t>
      </w:r>
      <w:proofErr w:type="spellStart"/>
      <w:r w:rsidRPr="003629AB">
        <w:t>Надеждинка</w:t>
      </w:r>
      <w:proofErr w:type="spellEnd"/>
      <w:r w:rsidRPr="003629AB">
        <w:t>», расположена на территории Кондратьевского сельского поселения, вблизи озера Щучье. Вид разрешенного пользования – рекреация.</w:t>
      </w:r>
    </w:p>
    <w:p w:rsidR="004061C4" w:rsidRPr="003629AB" w:rsidRDefault="004061C4" w:rsidP="004061C4">
      <w:pPr>
        <w:pStyle w:val="a3"/>
        <w:numPr>
          <w:ilvl w:val="0"/>
          <w:numId w:val="2"/>
        </w:numPr>
        <w:ind w:left="0"/>
        <w:jc w:val="both"/>
      </w:pPr>
      <w:r w:rsidRPr="003629AB">
        <w:t xml:space="preserve">Инвестиционная площадка «Туристическая зона </w:t>
      </w:r>
      <w:proofErr w:type="spellStart"/>
      <w:r w:rsidRPr="003629AB">
        <w:t>Ленево</w:t>
      </w:r>
      <w:proofErr w:type="spellEnd"/>
      <w:r w:rsidRPr="003629AB">
        <w:t xml:space="preserve">», расположена на территории Кондратьевского сельского поселения, в 950 метрах от озера </w:t>
      </w:r>
      <w:proofErr w:type="spellStart"/>
      <w:r w:rsidRPr="003629AB">
        <w:t>Ленево</w:t>
      </w:r>
      <w:proofErr w:type="spellEnd"/>
      <w:r w:rsidRPr="003629AB">
        <w:t>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Также в качестве инвестиционной площадки рассматривается </w:t>
      </w:r>
      <w:proofErr w:type="spellStart"/>
      <w:r w:rsidRPr="003629AB">
        <w:rPr>
          <w:rFonts w:ascii="Times New Roman" w:hAnsi="Times New Roman"/>
          <w:sz w:val="24"/>
          <w:szCs w:val="24"/>
        </w:rPr>
        <w:t>Петропавловкий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винокуренный завод, памятник промышленной архитектуры, объект культурного наследия.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В 2019 году на территории природного заказника регионального значения «Озеро </w:t>
      </w:r>
      <w:proofErr w:type="spellStart"/>
      <w:r w:rsidRPr="003629AB">
        <w:rPr>
          <w:rFonts w:ascii="Times New Roman" w:hAnsi="Times New Roman"/>
          <w:sz w:val="24"/>
          <w:szCs w:val="24"/>
        </w:rPr>
        <w:t>Ленево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» открылась эколого-туристическая тропа, протяженностью 900 метров. На реализацию проекта было затрачено 1142289 рублей.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  <w:t xml:space="preserve"> Одним их главных факторов сдерживающих развитие туризма на территории района является отсутствие развитой инфраструктуры (недостаточное количество мест размещения, отсутствие подъездных путей с твердым покрытием).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Развитие туризма на территории района требует системности и комплексности, поскольку сама отрасль «туризм» носит ярко выраженный межотраслевой характер, задействует самые разные секторы экономики, культуру, природное наследие и другие сферы.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3. Цель и задачи подпрограммы</w:t>
      </w:r>
    </w:p>
    <w:p w:rsidR="004061C4" w:rsidRPr="003629AB" w:rsidRDefault="004061C4" w:rsidP="004061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Целью подпрограммы является комплексная реализация стратегической роли культуры как духовно-нравственной основы для укрепления единства общества посредством приоритетного культурного и гуманитарного развития, создание благоприятных условий для формирования гармонично развитой личности, реализации каждым человеком его творческого потенциала, сохранение и исторического и культурного наследия Муромцевского района и его использования для воспитания и образования, обеспечение жителям Муромцевского района доступа к знаниям, информации и культурным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ценностям,  развития туризма в </w:t>
      </w:r>
      <w:proofErr w:type="spellStart"/>
      <w:r w:rsidRPr="003629AB">
        <w:rPr>
          <w:rFonts w:ascii="Times New Roman" w:hAnsi="Times New Roman"/>
          <w:sz w:val="24"/>
          <w:szCs w:val="24"/>
        </w:rPr>
        <w:t>Муромцевском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муниципальном районе 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Цель подпрограммы достигается посредством решения 8 поставленных подпрограммой задач: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1. Создание условий для обеспечения населения района услугами культуры.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2. Развитие и поддержка творческой деятельности; создание условий по сохранению нематериального культурного наследия.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Создание условий для повышения качества и разнообразия услуг, предоставляемых  в сфере культуры, развитие кадрового потенциала.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Выявление, охрана, популяризация культурного наследия (в том числе сохранение и пополнение библиотечного, музейного, архивного, кино-, фото-, виде</w:t>
      </w:r>
      <w:proofErr w:type="gramStart"/>
      <w:r w:rsidRPr="003629AB">
        <w:rPr>
          <w:rFonts w:ascii="Times New Roman" w:hAnsi="Times New Roman"/>
          <w:sz w:val="24"/>
          <w:szCs w:val="24"/>
        </w:rPr>
        <w:t>о-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; перевод </w:t>
      </w:r>
      <w:r w:rsidRPr="003629AB">
        <w:rPr>
          <w:rFonts w:ascii="Times New Roman" w:hAnsi="Times New Roman"/>
          <w:sz w:val="24"/>
          <w:szCs w:val="24"/>
        </w:rPr>
        <w:lastRenderedPageBreak/>
        <w:t xml:space="preserve">в электронный вид библиотечных, музейных кино-, фото-, видео- и </w:t>
      </w:r>
      <w:proofErr w:type="spellStart"/>
      <w:r w:rsidRPr="003629AB">
        <w:rPr>
          <w:rFonts w:ascii="Times New Roman" w:hAnsi="Times New Roman"/>
          <w:sz w:val="24"/>
          <w:szCs w:val="24"/>
        </w:rPr>
        <w:t>аудиофондов</w:t>
      </w:r>
      <w:proofErr w:type="spellEnd"/>
      <w:r w:rsidRPr="003629AB">
        <w:rPr>
          <w:rFonts w:ascii="Times New Roman" w:hAnsi="Times New Roman"/>
          <w:sz w:val="24"/>
          <w:szCs w:val="24"/>
        </w:rPr>
        <w:t>, создание инфраструктуры доступа населения к ним с использованием сети Интернет).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Укрепление и развитие материально-технической базы учреждений культуры муниципального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Формирование и развитие </w:t>
      </w:r>
      <w:proofErr w:type="gramStart"/>
      <w:r w:rsidRPr="003629AB">
        <w:rPr>
          <w:rFonts w:ascii="Times New Roman" w:hAnsi="Times New Roman"/>
          <w:sz w:val="24"/>
          <w:szCs w:val="24"/>
        </w:rPr>
        <w:t>туристской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629AB">
        <w:rPr>
          <w:rFonts w:ascii="Times New Roman" w:hAnsi="Times New Roman"/>
          <w:sz w:val="24"/>
          <w:szCs w:val="24"/>
        </w:rPr>
        <w:t>дестинации</w:t>
      </w:r>
      <w:proofErr w:type="spellEnd"/>
      <w:r w:rsidRPr="003629AB">
        <w:rPr>
          <w:rFonts w:ascii="Times New Roman" w:hAnsi="Times New Roman"/>
          <w:sz w:val="24"/>
          <w:szCs w:val="24"/>
        </w:rPr>
        <w:t xml:space="preserve">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Повышение качества туристских услуг.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туристского продукта Муромцевского района.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9.Обеспечение информационного противодействия идеологии экстремизма и терроризма на территории Муромцевского района.</w:t>
      </w: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4. Срок реализации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Общий срок реализации настоящей подпрограммы составляет 9 лет, рассчитан на период 2022 – 2030 годов (в один этап).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5. Описание входящих в состав подпрограммы основных мероприятий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В целях решения задач подпрограммы в ее составе формируются 8 основных мероприятий: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1. Обеспечение доступа населения к услугам культуры.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2. Развитие самодеятельного художественного и народного творчества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3. Сохранение и развитие народной традиционной культуры и детского творчества. 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Сохранение и эффективное использование культурного наследия Муромцевского района.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4. Административно-хозяйственное обслуживание учреждений культуры.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Создание и модернизация туристских объектов.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6.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7. Выставочная и презентационная деятельность в сфере туризма.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8. Продвижение туристских ресурсов Муромцевского района на внутреннем и международном туристских рынках.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Осуществление информационно-идеологических мероприятий по противодействию идеологии терроризма и проявления экстремизма.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061C4" w:rsidRPr="005455B3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55B3">
        <w:rPr>
          <w:rFonts w:ascii="Times New Roman" w:hAnsi="Times New Roman"/>
          <w:sz w:val="24"/>
          <w:szCs w:val="24"/>
        </w:rPr>
        <w:t>Раздел 6. Описание мероприятий и целевых индикаторов их выполнения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Перечень целевых индикаторов реализации мероприятий подпрограммы приведен в приложении № 2 к муниципальной программе Муромцевского муниципального района Омской области «Развитие социально-культурной сферы Муромцевского муниципального района Омской области».</w:t>
      </w:r>
    </w:p>
    <w:p w:rsidR="004061C4" w:rsidRPr="005455B3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5B3">
        <w:rPr>
          <w:rFonts w:ascii="Times New Roman" w:hAnsi="Times New Roman" w:cs="Times New Roman"/>
          <w:b/>
          <w:sz w:val="24"/>
          <w:szCs w:val="24"/>
        </w:rPr>
        <w:t>В рамках основного мероприятия «Обеспечение доступа населения к услугам культуры» планируется выполнение следующих мероприятий: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«Содействие в оказании муниципальных услуг учреждениями в сфере культуры муниципальных образований Омской области в части выплаты заработной платы работникам муниципальных учреждений Омской области».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достижение уровня средней номинальной начисленной заработной платы работников учреждений культуры Муромцевского муниципального района Омской области.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455B3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Pr="005455B3">
        <w:rPr>
          <w:rFonts w:ascii="Times New Roman" w:hAnsi="Times New Roman" w:cs="Times New Roman"/>
          <w:sz w:val="24"/>
          <w:szCs w:val="24"/>
        </w:rPr>
        <w:t xml:space="preserve"> расходов муниципальных образований Омской области в сфере культуры в целях обеспечения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права».</w:t>
      </w:r>
    </w:p>
    <w:p w:rsidR="004061C4" w:rsidRPr="005455B3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доля работников муниципальных учреждений в сфере культуры, которым обеспечена гарантия.</w:t>
      </w:r>
    </w:p>
    <w:p w:rsidR="004061C4" w:rsidRPr="005455B3" w:rsidRDefault="004061C4" w:rsidP="004061C4">
      <w:pPr>
        <w:pStyle w:val="ConsPlusNonformat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t>«Выплата заработной платы другим категориям работников»</w:t>
      </w:r>
    </w:p>
    <w:p w:rsidR="004061C4" w:rsidRPr="003629AB" w:rsidRDefault="004061C4" w:rsidP="004061C4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55B3">
        <w:rPr>
          <w:rFonts w:ascii="Times New Roman" w:hAnsi="Times New Roman" w:cs="Times New Roman"/>
          <w:sz w:val="24"/>
          <w:szCs w:val="24"/>
        </w:rPr>
        <w:lastRenderedPageBreak/>
        <w:t>Для ежегодной оценки эффективности данного мероприятия используется целевой индикатор – обеспечение в полном объеме заработной</w:t>
      </w:r>
      <w:r w:rsidRPr="003629AB">
        <w:rPr>
          <w:rFonts w:ascii="Times New Roman" w:hAnsi="Times New Roman" w:cs="Times New Roman"/>
          <w:sz w:val="24"/>
          <w:szCs w:val="24"/>
        </w:rPr>
        <w:t xml:space="preserve"> платы работников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1.4 «Содержание зданий и сооружений муниципальных образовательных учреждений (в том числе коммунальные услуги) »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1.5.  Обеспечение комплекса мер, направленных на поддержку применения в деятельности муниципальных учреждений сферы культуры информационно-коммуникационными технологиями, оснащение современным оборудованием и программными продуктами для обеспечения культурной деятельности.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629A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29AB">
        <w:rPr>
          <w:rFonts w:ascii="Times New Roman" w:hAnsi="Times New Roman" w:cs="Times New Roman"/>
          <w:sz w:val="24"/>
          <w:szCs w:val="24"/>
        </w:rPr>
        <w:t>1.6 «Осуществление муниципального управления в сфере культуры»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t>Для ежегодной оценки эффективности данного мероприятия используется целевой индикатор – обеспечение бесперебойной работы учреждений культуры.</w:t>
      </w:r>
    </w:p>
    <w:p w:rsidR="004061C4" w:rsidRPr="0037394B" w:rsidRDefault="004061C4" w:rsidP="004061C4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394B">
        <w:rPr>
          <w:rFonts w:ascii="Times New Roman" w:hAnsi="Times New Roman" w:cs="Times New Roman"/>
          <w:sz w:val="24"/>
          <w:szCs w:val="24"/>
        </w:rPr>
        <w:t xml:space="preserve">1.7.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«Поощрение муниципальной управленческой команды Омской области за достижение Омской областью в 2021 году значений (уровней) показателей для оценки эффективности деятельности высших должностных лиц субъектов Российской Федерации и деятельности органов исполнительной власти субъектов Российской Федерации, указанных в пункте 10 Правил распределения в 2022 году между субъектами Российской Федерации дотаций (грантов) в форме межбюджетных трансфертов на основе достигнутых ими за отчетный период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значений (уровней) показателей для оценки </w:t>
      </w:r>
      <w:proofErr w:type="gramStart"/>
      <w:r w:rsidRPr="0037394B">
        <w:rPr>
          <w:rFonts w:ascii="Times New Roman" w:hAnsi="Times New Roman" w:cs="Times New Roman"/>
          <w:sz w:val="24"/>
          <w:szCs w:val="24"/>
        </w:rPr>
        <w:t>эффективности деятельности высших должностных лиц субъектов Российской Федерации</w:t>
      </w:r>
      <w:proofErr w:type="gramEnd"/>
      <w:r w:rsidRPr="0037394B">
        <w:rPr>
          <w:rFonts w:ascii="Times New Roman" w:hAnsi="Times New Roman" w:cs="Times New Roman"/>
          <w:sz w:val="24"/>
          <w:szCs w:val="24"/>
        </w:rPr>
        <w:t xml:space="preserve"> и деятельности органов исполнительной власти субъектов Российской Федерации, утвержденных постановлением Правительства Российской Федерации от 9 июня 2022 года №1050»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7394B">
        <w:rPr>
          <w:b/>
        </w:rPr>
        <w:t>В рамках основного мероприятия «Развитие  самодеятельного</w:t>
      </w:r>
      <w:r w:rsidRPr="003629AB">
        <w:rPr>
          <w:b/>
        </w:rPr>
        <w:t xml:space="preserve"> художественного и народного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2.1 Организация и проведение массовых мероприятий фестивалей и конкурсов, народных праздников, в </w:t>
      </w:r>
      <w:proofErr w:type="spellStart"/>
      <w:r w:rsidRPr="003629AB">
        <w:t>т.ч</w:t>
      </w:r>
      <w:proofErr w:type="spellEnd"/>
      <w:r w:rsidRPr="003629AB">
        <w:t>. организация выставок ДПИ и НХП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2.2 Мероприятия, направленные на пропаганду здорового образа жизни учреждений культуры.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 мероприятий.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2.3 Организация экспедиций по району с целью сохранения традиционной культуры Муромцевского района, создание электронного банка данных по народным промыслам и ремеслам.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экспедиций.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«Сохранение и развитие народной традиционной культуры и детского творчества»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3.1 Участие специалистов сферы культуры и дополнительного образования в сфере культуры в семинарах, форумах, конференциях, фестивалях и пр. разного уровня, в </w:t>
      </w:r>
      <w:proofErr w:type="spellStart"/>
      <w:r w:rsidRPr="003629AB">
        <w:t>т.ч</w:t>
      </w:r>
      <w:proofErr w:type="spellEnd"/>
      <w:r w:rsidRPr="003629AB">
        <w:t>. в выставках ДПИ и НХП.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3.2 Выявление и стимулирование результативно работающих специалистов сферы культуры, повышение профессионального уровня.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специалистов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3.3 Выявление и поддержка одаренных детей и молодежи.</w:t>
      </w:r>
    </w:p>
    <w:p w:rsidR="004061C4" w:rsidRPr="003629A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доля участников конкурса по выявлению одаренных детей и молодежи, ставших обладателями муниципальной премии, общему количеству участников конкурса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lastRenderedPageBreak/>
        <w:t>В рамках основного мероприятия «Сохранение и эффективное использование культурного наследия Муромцевского района» планируется выполнение следующих мероприятий:</w:t>
      </w:r>
    </w:p>
    <w:p w:rsidR="004061C4" w:rsidRPr="002F32BB" w:rsidRDefault="004061C4" w:rsidP="004061C4">
      <w:pPr>
        <w:pStyle w:val="a3"/>
        <w:numPr>
          <w:ilvl w:val="1"/>
          <w:numId w:val="5"/>
        </w:numPr>
        <w:ind w:left="0" w:firstLine="720"/>
        <w:jc w:val="both"/>
      </w:pPr>
      <w:r w:rsidRPr="003629AB">
        <w:t xml:space="preserve">Расходы на обеспечение муниципальных библиотек широкополосных доступом к сети интернет, в </w:t>
      </w:r>
      <w:proofErr w:type="spellStart"/>
      <w:r w:rsidRPr="003629AB">
        <w:t>т.ч</w:t>
      </w:r>
      <w:proofErr w:type="spellEnd"/>
      <w:r w:rsidRPr="003629AB">
        <w:t xml:space="preserve">. </w:t>
      </w:r>
      <w:r w:rsidRPr="002F32BB">
        <w:t>формирование и ведение реестров библиотечных и музейных фондов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 доля библиотек, обеспеченных доступом к сети интернет, в общей библиотечной сети Муромцевского района.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 xml:space="preserve">4.2 </w:t>
      </w:r>
      <w:r w:rsidRPr="002F32BB">
        <w:rPr>
          <w:rFonts w:ascii="Times New Roman" w:hAnsi="Times New Roman"/>
        </w:rPr>
        <w:t xml:space="preserve">Комплектование книжных фондов общедоступных (публичных) библиотек. </w:t>
      </w:r>
    </w:p>
    <w:p w:rsidR="004061C4" w:rsidRPr="002F32BB" w:rsidRDefault="004061C4" w:rsidP="004061C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Для ежегодной оценки эффективности данного мероприятия используется целевой индикатор – увеличение  количества изданий на 1000 жителей</w:t>
      </w:r>
    </w:p>
    <w:p w:rsidR="004061C4" w:rsidRPr="002F32B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>4.3  Подписка на периодические издания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количество периодических изданий, на которые обеспечена подписка</w:t>
      </w:r>
    </w:p>
    <w:p w:rsidR="004061C4" w:rsidRPr="002F32BB" w:rsidRDefault="004061C4" w:rsidP="004061C4">
      <w:pPr>
        <w:pStyle w:val="a3"/>
        <w:widowControl w:val="0"/>
        <w:tabs>
          <w:tab w:val="left" w:pos="3180"/>
        </w:tabs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2F32BB">
        <w:rPr>
          <w:b/>
        </w:rPr>
        <w:t>В рамках основного мероприятия «Административно-хозяйственное обслуживание учреждений культуры» планируется выполнение следующих мероприятий: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2"/>
        </w:numPr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Выплата денежного поощрения лучшим муниципальным учреждениям культуры, находящимся на территориях сельских поселений Омской области, и их работникам.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 w:rsidRPr="002F32BB">
        <w:rPr>
          <w:rFonts w:ascii="Times New Roman" w:hAnsi="Times New Roman"/>
          <w:sz w:val="24"/>
          <w:szCs w:val="24"/>
        </w:rPr>
        <w:t xml:space="preserve">          Для ежегодной оценки эффективности данного мероприятия используется целевой индикатор – количество конкурсных программ, в которых участвуют учреждения и специалисты.</w:t>
      </w:r>
    </w:p>
    <w:p w:rsidR="004061C4" w:rsidRPr="002F32BB" w:rsidRDefault="004061C4" w:rsidP="004061C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/>
        </w:rPr>
      </w:pPr>
      <w:r w:rsidRPr="002F32BB">
        <w:rPr>
          <w:rFonts w:ascii="Times New Roman" w:hAnsi="Times New Roman"/>
          <w:sz w:val="24"/>
          <w:szCs w:val="24"/>
        </w:rPr>
        <w:tab/>
        <w:t xml:space="preserve">5.2 </w:t>
      </w:r>
      <w:r w:rsidRPr="002F32BB">
        <w:rPr>
          <w:rFonts w:ascii="Times New Roman" w:hAnsi="Times New Roman"/>
        </w:rPr>
        <w:t>Аттестация рабочих мест.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- доля аттестованных рабочих мест от общего количества рабочих мест, подлежащих аттестации.</w:t>
      </w:r>
    </w:p>
    <w:p w:rsidR="004061C4" w:rsidRPr="002F32BB" w:rsidRDefault="004061C4" w:rsidP="004061C4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5.3 Приобретение и обслуживание охранной, пожарной сигнализации, систем видеонаблюдения, контроля доступа и иных аналогичных систем, в </w:t>
      </w:r>
      <w:proofErr w:type="spellStart"/>
      <w:r w:rsidRPr="002F32BB">
        <w:t>т.ч</w:t>
      </w:r>
      <w:proofErr w:type="spellEnd"/>
      <w:r w:rsidRPr="002F32BB">
        <w:t>. пусконаладочные, монтажные работы в муниципальных учреждениях культуры.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 культуры, обеспеченных охранной, пожарной сигнализацией, систем видеонаблюдения, контроля доступа и иных аналогичных систем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Ремонт и материально-техническое оснащение объектов, находящихся в муниципальной собственности.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МТБ.</w:t>
      </w:r>
    </w:p>
    <w:p w:rsidR="004061C4" w:rsidRPr="002F32BB" w:rsidRDefault="004061C4" w:rsidP="004061C4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«Государственная поддержка отрасли культуры (</w:t>
      </w:r>
      <w:proofErr w:type="spellStart"/>
      <w:r w:rsidRPr="002F32BB">
        <w:t>софинансирование</w:t>
      </w:r>
      <w:proofErr w:type="spellEnd"/>
      <w:r w:rsidRPr="002F32BB">
        <w:t xml:space="preserve"> расходов на модернизацию путем капитального ремонта муниципальных детских школ искусств по видам искусств)»  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 xml:space="preserve">5.6 </w:t>
      </w:r>
      <w:r w:rsidRPr="009D6D49">
        <w:t>Проведение мероприятий по обеспечению программы «Доступная среда»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доля учреждений культуры, обеспеченных оборудованием по программе «Доступная среда».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5.7 </w:t>
      </w:r>
      <w:proofErr w:type="spellStart"/>
      <w:r w:rsidR="0077451B" w:rsidRPr="009D6D49">
        <w:t>Софинансирование</w:t>
      </w:r>
      <w:proofErr w:type="spellEnd"/>
      <w:r w:rsidR="0077451B" w:rsidRPr="009D6D49">
        <w:t xml:space="preserve"> расходов на развитие сети учреждений культурно-досугового типа.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количество учреждений, получивших оборудование для МТБ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5.8 Строительство, реконструкция зданий, сооружений муниципальных учреждений культуры, в </w:t>
      </w:r>
      <w:proofErr w:type="spellStart"/>
      <w:r w:rsidRPr="009D6D49">
        <w:t>т.ч</w:t>
      </w:r>
      <w:proofErr w:type="spellEnd"/>
      <w:r w:rsidRPr="009D6D49">
        <w:t>. проектно-сметные документации.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Для ежегодной оценки 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9D6D49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>5.9 Создание модельных библиотек.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9D6D49">
        <w:t xml:space="preserve">Для ежегодной оценки </w:t>
      </w:r>
      <w:r w:rsidRPr="002F32BB">
        <w:t>эффективности данного мероприятия используется целевой индикатор – количество вновь построенных учреждений, введенных в эксплуатации.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lastRenderedPageBreak/>
        <w:t>5.10 Создание виртуального зала на базе МБМУК ЦБС «Имени М.А. Ульянова»</w:t>
      </w:r>
    </w:p>
    <w:p w:rsidR="004061C4" w:rsidRPr="002F32B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Для ежегодной оценки эффективности данного мероприятия используется целевой индикатор – количество залов, оборудованных для проведения виртуальных показов.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2F32BB">
        <w:t>5.11 Государственная поддержка отрасли культуры (приобретение музыкальных инструментов, оборудования и учебных материалов для детской школы искусств) "Муниципальное казенное образовательное учреждение дополнительного образования "</w:t>
      </w:r>
      <w:proofErr w:type="spellStart"/>
      <w:r w:rsidRPr="002F32BB">
        <w:t>Муромцевская</w:t>
      </w:r>
      <w:proofErr w:type="spellEnd"/>
      <w:r w:rsidRPr="002F32BB">
        <w:t xml:space="preserve"> детская школа искусств" Администрации Муромцевского муниципального района </w:t>
      </w:r>
      <w:r w:rsidRPr="0037394B">
        <w:t>Омской области.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4061C4" w:rsidRPr="0037394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>5.12 Обеспечение развития и укрепления материально-технической базы домов культуры в населенных пунктах с числом жителей до 50 тысяч человек.</w:t>
      </w:r>
    </w:p>
    <w:p w:rsidR="004061C4" w:rsidRPr="000C3C5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7394B">
        <w:t xml:space="preserve">Для ежегодной оценки эффективности данного мероприятия используется целевой </w:t>
      </w:r>
      <w:r w:rsidRPr="000C3C51">
        <w:t>индикатор – Количество учреждений, получивших оборудование для МТБ.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C3C51">
        <w:t xml:space="preserve">5.13 </w:t>
      </w:r>
      <w:r w:rsidRPr="000F1FD1">
        <w:t>Ремонт кровли по поручению Губернатора Омской области в зданиях учреждений культуры.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Для ежегодной оценки эффективности данного мероприятия используется целевой индикатор – количество </w:t>
      </w:r>
      <w:proofErr w:type="gramStart"/>
      <w:r w:rsidRPr="000F1FD1">
        <w:t>учреждений</w:t>
      </w:r>
      <w:proofErr w:type="gramEnd"/>
      <w:r w:rsidRPr="000F1FD1">
        <w:t xml:space="preserve"> в которых сделан ремонт кровли.</w:t>
      </w:r>
    </w:p>
    <w:p w:rsidR="00BA3584" w:rsidRDefault="004061C4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 xml:space="preserve">5.14 Государственная поддержка отрасли культуры (приобретение музыкальных инструментов, оборудования и  материалов для муниципальных детских школ искусств по видам искусств) "Муниципальное казенное учреждение дополнительного образования детей </w:t>
      </w:r>
      <w:proofErr w:type="spellStart"/>
      <w:r w:rsidRPr="000F1FD1">
        <w:t>Муромцевская</w:t>
      </w:r>
      <w:proofErr w:type="spellEnd"/>
      <w:r w:rsidRPr="000F1FD1">
        <w:t xml:space="preserve"> детская школа искусств "Школа ремесел" Администрации Муромцевского муниципального района Омской области.</w:t>
      </w:r>
      <w:r w:rsidR="00BA3584" w:rsidRPr="00BA3584">
        <w:t xml:space="preserve"> </w:t>
      </w:r>
    </w:p>
    <w:p w:rsidR="00BA3584" w:rsidRPr="000F1FD1" w:rsidRDefault="00BA3584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 используется целевой индикатор – количество учреждений, которые приобрели музыкальные инструменты.</w:t>
      </w:r>
    </w:p>
    <w:p w:rsidR="00BA3584" w:rsidRPr="000F67FE" w:rsidRDefault="00BA358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67FE">
        <w:t xml:space="preserve">5.15 Капитальный ремонт здания МБМУК "ЦБС", расположенного по адресу: Омская область, </w:t>
      </w:r>
      <w:proofErr w:type="spellStart"/>
      <w:r w:rsidRPr="000F67FE">
        <w:t>Муромцевский</w:t>
      </w:r>
      <w:proofErr w:type="spellEnd"/>
      <w:r w:rsidRPr="000F67FE">
        <w:t xml:space="preserve"> район, </w:t>
      </w:r>
      <w:proofErr w:type="spellStart"/>
      <w:r w:rsidRPr="000F67FE">
        <w:t>р.п</w:t>
      </w:r>
      <w:proofErr w:type="gramStart"/>
      <w:r w:rsidRPr="000F67FE">
        <w:t>.М</w:t>
      </w:r>
      <w:proofErr w:type="gramEnd"/>
      <w:r w:rsidRPr="000F67FE">
        <w:t>уромцево</w:t>
      </w:r>
      <w:proofErr w:type="spellEnd"/>
      <w:r w:rsidRPr="000F67FE">
        <w:t xml:space="preserve">, </w:t>
      </w:r>
      <w:proofErr w:type="spellStart"/>
      <w:r w:rsidRPr="000F67FE">
        <w:t>ул.Партизанская</w:t>
      </w:r>
      <w:proofErr w:type="spellEnd"/>
      <w:r w:rsidRPr="000F67FE">
        <w:t>, д.30.</w:t>
      </w:r>
    </w:p>
    <w:p w:rsidR="00BA3584" w:rsidRPr="000F67FE" w:rsidRDefault="00BA3584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67FE">
        <w:t>Для ежегодной оценки эффективности данного мероприятия используется целевой индикатор – количество учреждений, в которых проведен капитальный ремонт здания.</w:t>
      </w:r>
    </w:p>
    <w:p w:rsidR="000F67FE" w:rsidRDefault="000F67FE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color w:val="FF0000"/>
        </w:rPr>
      </w:pPr>
      <w:r>
        <w:rPr>
          <w:color w:val="FF0000"/>
        </w:rPr>
        <w:t xml:space="preserve">5.16 </w:t>
      </w:r>
      <w:r w:rsidRPr="000F67FE">
        <w:rPr>
          <w:color w:val="FF0000"/>
        </w:rPr>
        <w:t xml:space="preserve">Строительный </w:t>
      </w:r>
      <w:proofErr w:type="gramStart"/>
      <w:r w:rsidRPr="000F67FE">
        <w:rPr>
          <w:color w:val="FF0000"/>
        </w:rPr>
        <w:t>контроль за</w:t>
      </w:r>
      <w:proofErr w:type="gramEnd"/>
      <w:r w:rsidRPr="000F67FE">
        <w:rPr>
          <w:color w:val="FF0000"/>
        </w:rPr>
        <w:t xml:space="preserve"> выполнением работ по капитальному ремонту крыши и фасада здания МБМУК </w:t>
      </w:r>
      <w:proofErr w:type="spellStart"/>
      <w:r w:rsidRPr="000F67FE">
        <w:rPr>
          <w:color w:val="FF0000"/>
        </w:rPr>
        <w:t>Муромцевский</w:t>
      </w:r>
      <w:proofErr w:type="spellEnd"/>
      <w:r w:rsidRPr="000F67FE">
        <w:rPr>
          <w:color w:val="FF0000"/>
        </w:rPr>
        <w:t xml:space="preserve"> КДЦ "Альтернатива</w:t>
      </w:r>
      <w:r>
        <w:rPr>
          <w:color w:val="FF0000"/>
        </w:rPr>
        <w:t>.</w:t>
      </w:r>
    </w:p>
    <w:p w:rsidR="000F67FE" w:rsidRPr="000F67FE" w:rsidRDefault="000F67FE" w:rsidP="00BA358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color w:val="FF0000"/>
        </w:rPr>
      </w:pPr>
      <w:r w:rsidRPr="000F67FE">
        <w:rPr>
          <w:color w:val="FF0000"/>
        </w:rPr>
        <w:t>Для ежегодной оценки эффективности данного мероприятия используется целевой индикатор –</w:t>
      </w:r>
      <w:r w:rsidRPr="000F67FE">
        <w:rPr>
          <w:color w:val="FF0000"/>
        </w:rPr>
        <w:t xml:space="preserve"> степень исполнения обязательств по предоставлению субсидий социально-ориентированным некоммерческим организациям.</w:t>
      </w:r>
    </w:p>
    <w:p w:rsidR="004061C4" w:rsidRPr="000F1FD1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0F1FD1">
        <w:rPr>
          <w:b/>
        </w:rPr>
        <w:t>В рамках основного мероприятия «Создание и модернизация туристских объектов» планируется выполнение следующих мероприятий:</w:t>
      </w:r>
    </w:p>
    <w:p w:rsidR="004061C4" w:rsidRPr="000F1FD1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Строительство (реконструкция) объектов 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0F1FD1">
        <w:t>Для ежегодной оценки эффективности данного мероприятия</w:t>
      </w:r>
      <w:r w:rsidRPr="003629AB">
        <w:t xml:space="preserve"> используется целевой индикатор – количество вновь построенных учреждений, введенных в эксплуатацию.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Капитальный ремонт объектов обеспечивающей инфраструктуры туристских комплексов.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учреждений, в которых сделан капитальный ремонт.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t>В рамках основного мероприятия «Выставочная и презентационная деятельность в сфере туризма»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7.1 Организация и проведение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семинаров, консультаций, стажировок, мастер-классов, круглых столов в сфере туризма.</w:t>
      </w:r>
    </w:p>
    <w:p w:rsidR="004061C4" w:rsidRPr="003629AB" w:rsidRDefault="004061C4" w:rsidP="004061C4">
      <w:pPr>
        <w:pStyle w:val="a3"/>
        <w:widowControl w:val="0"/>
        <w:numPr>
          <w:ilvl w:val="1"/>
          <w:numId w:val="8"/>
        </w:numPr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Создание условий для развития сферы туризма и разработку лучшего туристического маршрута, разработка экскурсионных программ.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108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презентаций инвестиционных проектов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  <w:rPr>
          <w:b/>
        </w:rPr>
      </w:pPr>
      <w:r w:rsidRPr="003629AB">
        <w:rPr>
          <w:b/>
        </w:rPr>
        <w:lastRenderedPageBreak/>
        <w:t>В рамках основного мероприятия «Продвижение туристских ресурсов Муромцевского района на внутреннем и международном туристских рынках»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8.1 Внедрение инновационных технологий и инструментов по продвижению туристского продукта Муромцевского района  (специализированные мероприятия, рекламно-информационные туры, интернет – ресурсы)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Для ежегодной оценки эффективности данного мероприятия используется целевой индикатор – количество мероприятий 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 xml:space="preserve">8.2 Организация системы туристской навигации на территории Муромцевского муниципального района, в том числе установка рекламных щитов со схемами расположения достопримечательностей района, установка дорожных указателей к объектам </w:t>
      </w:r>
      <w:proofErr w:type="spellStart"/>
      <w:r w:rsidRPr="003629AB">
        <w:t>турпоказа</w:t>
      </w:r>
      <w:proofErr w:type="spellEnd"/>
      <w:r w:rsidRPr="003629AB">
        <w:t>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установленных рекламных конструкций.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b/>
          <w:sz w:val="24"/>
          <w:szCs w:val="24"/>
        </w:rPr>
        <w:t>В рамках основного мероприятия «Осуществление информационно-идеологических мероприятий по противодействию идеологии терроризма и проявления экстремизма» планируется выполнение следующих мероприятий: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9.1 Осуществление мероприятий в области мониторинга и социологических исследований с целью выявления причин экстремистских  и террористических проявлений.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населенных пунктов, на территории которых зафиксирована активность лиц с экстремистскими взглядами.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9.2 Организация и проведение мероприятий, направленных на противодействие идеологии терроризма, экстремизма.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проведенных мероприятий.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9.3 Размещение публикаций в муниципальных средствах массовой информации, а также в сети Интернет, направленных на противодействие идеологии экстремизма и терроризма.</w:t>
      </w:r>
    </w:p>
    <w:p w:rsidR="004061C4" w:rsidRPr="003629AB" w:rsidRDefault="004061C4" w:rsidP="004061C4">
      <w:pPr>
        <w:pStyle w:val="a3"/>
        <w:widowControl w:val="0"/>
        <w:autoSpaceDE w:val="0"/>
        <w:autoSpaceDN w:val="0"/>
        <w:adjustRightInd w:val="0"/>
        <w:ind w:left="0" w:firstLine="720"/>
        <w:jc w:val="both"/>
        <w:outlineLvl w:val="3"/>
      </w:pPr>
      <w:r w:rsidRPr="003629AB">
        <w:t>Для ежегодной оценки эффективности данного мероприятия используется целевой индикатор – количество выпущенных статей.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br/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 xml:space="preserve">Общий объем финансирования подпрограммы за счет всех источников финансирования  составляет 1 493 487 182,93 рубля, в том числе: 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2022 год – 127 656 043,35 рубля;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2023 год – 135 950 705,60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2024 год – 158 291 715,60 рубля;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2025 год – 161 478 050,73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2026 год – 179 268 167,65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2027 год – 178 042 500,00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2028 год – 179 800 000,00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2029 год – 178 000 000,00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2030 год – 195 000 000,00 рублей.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 xml:space="preserve">Общий объем расходов местного бюджета на реализацию подпрограммы составляет  1 295 513 658,10 рублей, в том числе: 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2022 год – 91 108 652,17 рубля;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2023 год – 95 614 501,60 рубль;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2024 год – 108 794 958,26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2025 год – 105 884 878,42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2026 год – 179 068 167,65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2027 год – 177 842 500,00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2028 год – 179 600 000,00 рублей;</w:t>
      </w:r>
    </w:p>
    <w:p w:rsidR="000F67FE" w:rsidRP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t>2029 год – 177 800 000,00 рублей;</w:t>
      </w:r>
    </w:p>
    <w:p w:rsidR="000F67FE" w:rsidRDefault="000F67FE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67FE">
        <w:rPr>
          <w:rFonts w:ascii="Times New Roman" w:hAnsi="Times New Roman"/>
          <w:sz w:val="24"/>
          <w:szCs w:val="24"/>
        </w:rPr>
        <w:lastRenderedPageBreak/>
        <w:t>2030 год – 179 800 000,00 рублей.</w:t>
      </w:r>
    </w:p>
    <w:p w:rsidR="00D96856" w:rsidRPr="003629AB" w:rsidRDefault="00D96856" w:rsidP="000F67F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областного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 </w:t>
      </w:r>
      <w:r>
        <w:rPr>
          <w:rFonts w:ascii="Times New Roman" w:hAnsi="Times New Roman"/>
          <w:sz w:val="24"/>
          <w:szCs w:val="24"/>
        </w:rPr>
        <w:t xml:space="preserve">172 787 028,03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629AB">
        <w:rPr>
          <w:rFonts w:ascii="Times New Roman" w:hAnsi="Times New Roman"/>
          <w:sz w:val="24"/>
          <w:szCs w:val="24"/>
        </w:rPr>
        <w:t xml:space="preserve">в том числе: 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 xml:space="preserve">32 425 562,49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ей;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2023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39 330 183,60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47 216 838,94 рубля;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53 814 443,00 рубля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Общий объем расходов </w:t>
      </w:r>
      <w:r>
        <w:rPr>
          <w:rFonts w:ascii="Times New Roman" w:hAnsi="Times New Roman"/>
          <w:sz w:val="24"/>
          <w:szCs w:val="24"/>
        </w:rPr>
        <w:t>федерального</w:t>
      </w:r>
      <w:r w:rsidRPr="003629AB">
        <w:rPr>
          <w:rFonts w:ascii="Times New Roman" w:hAnsi="Times New Roman"/>
          <w:sz w:val="24"/>
          <w:szCs w:val="24"/>
        </w:rPr>
        <w:t xml:space="preserve"> бюджета на реализацию подпрограммы составляет</w:t>
      </w:r>
      <w:r>
        <w:rPr>
          <w:rFonts w:ascii="Times New Roman" w:hAnsi="Times New Roman"/>
          <w:sz w:val="24"/>
          <w:szCs w:val="24"/>
        </w:rPr>
        <w:t xml:space="preserve"> 25 186 496,80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 xml:space="preserve">, в том числе: 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2022 год – </w:t>
      </w:r>
      <w:r>
        <w:rPr>
          <w:rFonts w:ascii="Times New Roman" w:hAnsi="Times New Roman"/>
          <w:sz w:val="24"/>
          <w:szCs w:val="24"/>
        </w:rPr>
        <w:t>4 121 828,69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3</w:t>
      </w:r>
      <w:r w:rsidRPr="003629AB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1 006 020,40</w:t>
      </w:r>
      <w:r w:rsidRPr="003629AB">
        <w:rPr>
          <w:rFonts w:ascii="Times New Roman" w:hAnsi="Times New Roman"/>
          <w:sz w:val="24"/>
          <w:szCs w:val="24"/>
        </w:rPr>
        <w:t xml:space="preserve"> рубл</w:t>
      </w:r>
      <w:r>
        <w:rPr>
          <w:rFonts w:ascii="Times New Roman" w:hAnsi="Times New Roman"/>
          <w:sz w:val="24"/>
          <w:szCs w:val="24"/>
        </w:rPr>
        <w:t>ей;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2024 год </w:t>
      </w:r>
      <w:r w:rsidRPr="003629AB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 xml:space="preserve">2 279 918,40 </w:t>
      </w:r>
      <w:r w:rsidRPr="003629AB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 год </w:t>
      </w:r>
      <w:r w:rsidRPr="003629AB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1 778 729,31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2026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</w:t>
      </w:r>
      <w:r>
        <w:rPr>
          <w:rFonts w:ascii="Times New Roman" w:hAnsi="Times New Roman"/>
          <w:sz w:val="24"/>
          <w:szCs w:val="24"/>
        </w:rPr>
        <w:t>ей</w:t>
      </w:r>
      <w:r w:rsidRPr="003629AB">
        <w:rPr>
          <w:rFonts w:ascii="Times New Roman" w:hAnsi="Times New Roman"/>
          <w:sz w:val="24"/>
          <w:szCs w:val="24"/>
        </w:rPr>
        <w:t>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2027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2028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Pr="003629AB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2029 год – </w:t>
      </w:r>
      <w:r>
        <w:rPr>
          <w:rFonts w:ascii="Times New Roman" w:hAnsi="Times New Roman"/>
          <w:sz w:val="24"/>
          <w:szCs w:val="24"/>
        </w:rPr>
        <w:t>200 000</w:t>
      </w:r>
      <w:r w:rsidRPr="003629AB">
        <w:rPr>
          <w:rFonts w:ascii="Times New Roman" w:hAnsi="Times New Roman"/>
          <w:sz w:val="24"/>
          <w:szCs w:val="24"/>
        </w:rPr>
        <w:t>,00 рублей;</w:t>
      </w:r>
    </w:p>
    <w:p w:rsidR="00D96856" w:rsidRDefault="00D96856" w:rsidP="00D968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2030 год – </w:t>
      </w:r>
      <w:r>
        <w:rPr>
          <w:rFonts w:ascii="Times New Roman" w:hAnsi="Times New Roman"/>
          <w:sz w:val="24"/>
          <w:szCs w:val="24"/>
        </w:rPr>
        <w:t>15 200 000</w:t>
      </w:r>
      <w:r w:rsidRPr="003629AB">
        <w:rPr>
          <w:rFonts w:ascii="Times New Roman" w:hAnsi="Times New Roman"/>
          <w:sz w:val="24"/>
          <w:szCs w:val="24"/>
        </w:rPr>
        <w:t>,00 рублей.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Источниками финансирования подпрограммы являются поступления налоговых и неналоговых доходов местного бюджета, поступлений целевого и нецелевого характера из областного и федерального бюджетов.</w:t>
      </w:r>
      <w:proofErr w:type="gramEnd"/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мероприятиям подпрограммы в разрезе источников финансирования представлено в </w:t>
      </w:r>
      <w:hyperlink r:id="rId6" w:history="1">
        <w:r w:rsidRPr="003629AB">
          <w:rPr>
            <w:rFonts w:ascii="Times New Roman" w:hAnsi="Times New Roman"/>
            <w:sz w:val="24"/>
            <w:szCs w:val="24"/>
          </w:rPr>
          <w:t>приложении</w:t>
        </w:r>
      </w:hyperlink>
      <w:r w:rsidRPr="003629AB">
        <w:rPr>
          <w:rFonts w:ascii="Times New Roman" w:hAnsi="Times New Roman"/>
          <w:sz w:val="24"/>
          <w:szCs w:val="24"/>
        </w:rPr>
        <w:t xml:space="preserve"> № 2 к муниципальной программе Муромцевского муниципального района Омской области  «Развитие социально-культурной сферы Муромцевского муниципального района Омской области».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993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Раздел 8. Ожидаемые результаты реализации подпрограммы</w:t>
      </w:r>
    </w:p>
    <w:p w:rsidR="004061C4" w:rsidRPr="003629AB" w:rsidRDefault="004061C4" w:rsidP="004061C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Для достижения цели подпрограммы определены следующие ожидаемые результаты: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Повышение уровня удовлетворенности населения качеством предоставления услуг в сфере культуры, в том числе по годам: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91%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93%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99%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</w:pPr>
      <w:r w:rsidRPr="003629AB">
        <w:t>Увеличение количества населения, участвующего в платных досуговых мероприятиях, в том числе по годам: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2022 год – 9216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2023 год – 9308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2024 год – 9401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2025 год – 9495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2026 год – 9589 человек 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2027 год – 9684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2028 год – 9780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2029 год – 9877 человек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>2030 год – 9975 человек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3. Обеспечение количества поступивших экземпляров в фонды общедоступных библиотек на 1000 человек населения (2022 – 2030 года – ежегодно 250 экземпляров).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4. Обеспечение соотношения средней заработной платы   работников культуры со средней заработной платой в Омской области, в том числе:  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>- работников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- работников дополнительного образования в сфере культуры (2022 – 2030 года – 100% ежегодно)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5. Доля учреждений культуры, имеющие доступ в Интернет в хорошем качестве скорости (КДУ, библиотеки, музеи), в том числе по годам: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2022 год – 85%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2023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2024 год – 90%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2025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2026 год – 95%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2027 год – 97%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2028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2029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2030 год – 100%</w:t>
      </w:r>
    </w:p>
    <w:p w:rsidR="004061C4" w:rsidRPr="003629AB" w:rsidRDefault="004061C4" w:rsidP="004061C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6. Увеличение количества туристских объектов, в том числе гостиниц, гостевых домов, туристических баз, площадок для отдыха, предприятий общественного питания, развлекательных учреждений, предприятий культурно-массового обслуживания (шт.) в </w:t>
      </w:r>
      <w:bookmarkStart w:id="0" w:name="_GoBack"/>
      <w:r w:rsidRPr="003629AB">
        <w:rPr>
          <w:rFonts w:ascii="Times New Roman" w:hAnsi="Times New Roman"/>
          <w:sz w:val="24"/>
          <w:szCs w:val="24"/>
        </w:rPr>
        <w:t xml:space="preserve">сфере туризма к 2020 году до 30 единиц, в том числе по годам: </w:t>
      </w:r>
    </w:p>
    <w:bookmarkEnd w:id="0"/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2022 год – 13  единиц</w:t>
      </w:r>
    </w:p>
    <w:p w:rsidR="004061C4" w:rsidRPr="003629AB" w:rsidRDefault="004061C4" w:rsidP="004061C4">
      <w:pPr>
        <w:pStyle w:val="a3"/>
        <w:ind w:left="0" w:firstLine="720"/>
        <w:jc w:val="both"/>
      </w:pPr>
      <w:r w:rsidRPr="003629AB">
        <w:t>2023 год – 15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2024 год – 17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2025 год – 18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2026 год – 20 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2027 год – 22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25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2029 год – 28 единиц</w:t>
      </w:r>
    </w:p>
    <w:p w:rsidR="004061C4" w:rsidRPr="003629AB" w:rsidRDefault="004061C4" w:rsidP="004061C4">
      <w:pPr>
        <w:pStyle w:val="a3"/>
        <w:ind w:left="0"/>
        <w:jc w:val="both"/>
      </w:pPr>
      <w:r w:rsidRPr="003629AB">
        <w:t xml:space="preserve">            2030 год – 30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7. Увеличение количества мест, размещенных в коллективных средствах размещения,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1300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1350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1370 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1600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1800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–2000 единиц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–2100 единиц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8. Увеличение численности занятого населения в сфере туризма, в том числе по годам:</w:t>
      </w:r>
    </w:p>
    <w:p w:rsidR="004061C4" w:rsidRPr="003629AB" w:rsidRDefault="004061C4" w:rsidP="004061C4">
      <w:pPr>
        <w:pStyle w:val="ConsPlusCell"/>
        <w:jc w:val="both"/>
        <w:rPr>
          <w:sz w:val="24"/>
          <w:szCs w:val="24"/>
        </w:rPr>
      </w:pPr>
      <w:r w:rsidRPr="003629AB">
        <w:rPr>
          <w:sz w:val="24"/>
          <w:szCs w:val="24"/>
        </w:rPr>
        <w:t xml:space="preserve">            2022 год – 70  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80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90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100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2026 год – 115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120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– 140 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 150человек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 150 человек</w:t>
      </w:r>
    </w:p>
    <w:p w:rsidR="004061C4" w:rsidRPr="003629AB" w:rsidRDefault="004061C4" w:rsidP="004061C4">
      <w:pPr>
        <w:pStyle w:val="ConsPlusCell"/>
        <w:ind w:firstLine="720"/>
        <w:jc w:val="both"/>
        <w:rPr>
          <w:sz w:val="24"/>
          <w:szCs w:val="24"/>
        </w:rPr>
      </w:pPr>
      <w:r w:rsidRPr="003629AB">
        <w:rPr>
          <w:sz w:val="24"/>
          <w:szCs w:val="24"/>
        </w:rPr>
        <w:t>9. Прирост количества организаций (общественных организаций, образовательных учреждений, частных предпринимателей), задействованных в сфере туризма  в год, в том числе по годам: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2022 год – 2 единицы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2023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2024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2025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lastRenderedPageBreak/>
        <w:t xml:space="preserve">            2026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2027 год – 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2028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2029 год  –1 единица</w:t>
      </w:r>
    </w:p>
    <w:p w:rsidR="004061C4" w:rsidRPr="003629AB" w:rsidRDefault="004061C4" w:rsidP="004061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            2030 год  –1 единица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9. Описание системы управления реализацией подпрограммы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Общее руководство и </w:t>
      </w: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 Комитет культуры, ежегодно уточняя целевые показатели и финансовые средства по программным мероприятиям, с учетом выделяемых на реализацию подпрограммы финансовых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Финансирование Подпрограммы осуществляется за счет средств областного и местного бюджета, в соответствии с утвержденным планом Программных мероприятий в пределах средств, планируемых для выделения на очередной финансовый год, а также за счет внебюджетных средств.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Координатором Подпрограммы является Комитет культуры Администрации Муромцевского муниципального района Омской области, который координирует действия исполнителей программы. Исполнение Подпрограммы включает в себя организационные мероприятия, обеспечивающие планирование, реализацию, корректировку и контроль исполнения предусмотренных Подпрограммой мероприятий.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>В рамках реализации Подпрограммы осуществляется взаимодействие со структурными подразделениями Администрации Муромцевского муниципального района, администрациями городского и сельских поселений, муниципальными учреждениями культуры и образования Муромцевского района, Советом ветеранов Муромцевского района. Участниками реализации Подпрограммы является все население Муромцевского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ходом реализации Подпрограммы осуществляется на основе проводимого мониторинга, измерения целевых показателей и индикаторов.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ab/>
      </w:r>
      <w:proofErr w:type="gramStart"/>
      <w:r w:rsidRPr="003629AB">
        <w:rPr>
          <w:rFonts w:ascii="Times New Roman" w:hAnsi="Times New Roman"/>
          <w:sz w:val="24"/>
          <w:szCs w:val="24"/>
        </w:rPr>
        <w:t>Информация о ходе реализации Подпрограммы предоставляется в Комитет экономики и управления муниципальной собственностью Администрации Муромцевского муниципального района ежегодно в соответствии с Порядком принятия решений о разработке муниципальных программ Муромцевского муниципального района Омской области, их формирования и реализации, утвержденным постановлением Администрации Муромцевского муниципального района Омской области от 18.07.2013 № 381-п,   в сроки до 1 мая года, следующего за отчетным.</w:t>
      </w:r>
      <w:proofErr w:type="gramEnd"/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29AB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3629AB">
        <w:rPr>
          <w:rFonts w:ascii="Times New Roman" w:hAnsi="Times New Roman"/>
          <w:sz w:val="24"/>
          <w:szCs w:val="24"/>
        </w:rPr>
        <w:t xml:space="preserve"> целевым использованием финансовых средств муниципального бюджета осуществляет Комитет финансов и контроля Администрации Муромцевского муниципального района.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Условиями досрочного прекращения реализации Программы может быть досрочное достижение целей и выполнение задач Программы, либо невыполнение установленных значений целевых индикаторов по годам при условии ее полного финансирования, как следствие  признание подпрограммы  не эффективной по результатам проведении оценки эффективности за отчетный год. </w:t>
      </w:r>
    </w:p>
    <w:p w:rsidR="004061C4" w:rsidRPr="003629AB" w:rsidRDefault="004061C4" w:rsidP="004061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629AB">
        <w:rPr>
          <w:rFonts w:ascii="Times New Roman" w:hAnsi="Times New Roman"/>
          <w:sz w:val="24"/>
          <w:szCs w:val="24"/>
        </w:rPr>
        <w:t xml:space="preserve">В ходе реализации Программы могут возникнуть финансовые, организационные, социально-экономические и социально-политические риски, влияющие на последствия реализации Программы, в том числе: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963"/>
      </w:tblGrid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Наименование риска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Мероприятие по снижению вероятности возникновения риска</w:t>
            </w:r>
          </w:p>
        </w:tc>
      </w:tr>
      <w:tr w:rsidR="004061C4" w:rsidRPr="003629AB" w:rsidTr="00BA3584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Финансовые риски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Существенное, (по сравнению с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утвержденным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по подпрограмме) сокращение объемов финансирования Подпрограммы, что нарушает системность и комплексность Подпрограммы и снизит эффект </w:t>
            </w: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предусмотренный ею мероприятий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lastRenderedPageBreak/>
              <w:t>Привлечение внебюджетных средств финансирования на реализацию мероприятий Подпрограммы</w:t>
            </w:r>
          </w:p>
        </w:tc>
      </w:tr>
      <w:tr w:rsidR="004061C4" w:rsidRPr="003629AB" w:rsidTr="00BA3584">
        <w:tc>
          <w:tcPr>
            <w:tcW w:w="9571" w:type="dxa"/>
            <w:gridSpan w:val="2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lastRenderedPageBreak/>
              <w:t>Организационные риски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Несогласованность действий организаций, вовлеченных в процесс реализации Программы, пассивность участия в Программе ее исполнителей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Регулярное информирование участников Подпрограммы о ходе ее реализации. Организация работы организационных комитетов по подготовке и проведению мероприятий Подпрограммы, с разработкой планов и назначением ответственных. Поддержание постоянных контактов с исполнителями и участниками Подпрограммы.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Недостижение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целевых показателей Программы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выполнения Подпрограммы, корректировка соответствующих мероприятий и разработка дополнительных мер по реализации мероприятий.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Дефицит квалифицированных кадров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proofErr w:type="spellStart"/>
            <w:r w:rsidRPr="003629AB">
              <w:rPr>
                <w:rFonts w:ascii="Times New Roman" w:hAnsi="Times New Roman"/>
                <w:sz w:val="24"/>
                <w:szCs w:val="24"/>
              </w:rPr>
              <w:t>профориентационной</w:t>
            </w:r>
            <w:proofErr w:type="spell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работы, приглашение специалистов для проведения семинаров и курсов повышения квалификации на базе учреждений и предприятий Муромцевского района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4061C4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0"/>
            </w:pPr>
            <w:r w:rsidRPr="003629AB">
              <w:t>Социально-экономические и социально-политические риски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Рост инфляции, существенно выходящий за пределы прогнозных оценок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Корректировка настоящей Подпрограммы, внесение изменений в объемы финансирования и план мероприятий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Непредвиденные изменения в законодательстве, ухудшающие показатели Программы (например: оптимизация средств за счет сокращения численности работников учреждений, рост налогов и т.д.)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изменений в законодательстве РФ, внесение при необходимости изменений в Программу</w:t>
            </w:r>
          </w:p>
        </w:tc>
      </w:tr>
      <w:tr w:rsidR="004061C4" w:rsidRPr="003629AB" w:rsidTr="00BA3584">
        <w:tc>
          <w:tcPr>
            <w:tcW w:w="4608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 xml:space="preserve">Снижение </w:t>
            </w:r>
            <w:proofErr w:type="gramStart"/>
            <w:r w:rsidRPr="003629AB">
              <w:rPr>
                <w:rFonts w:ascii="Times New Roman" w:hAnsi="Times New Roman"/>
                <w:sz w:val="24"/>
                <w:szCs w:val="24"/>
              </w:rPr>
              <w:t>существующего</w:t>
            </w:r>
            <w:proofErr w:type="gramEnd"/>
            <w:r w:rsidRPr="003629AB">
              <w:rPr>
                <w:rFonts w:ascii="Times New Roman" w:hAnsi="Times New Roman"/>
                <w:sz w:val="24"/>
                <w:szCs w:val="24"/>
              </w:rPr>
              <w:t xml:space="preserve"> турпотока</w:t>
            </w:r>
          </w:p>
        </w:tc>
        <w:tc>
          <w:tcPr>
            <w:tcW w:w="4963" w:type="dxa"/>
          </w:tcPr>
          <w:p w:rsidR="004061C4" w:rsidRPr="003629AB" w:rsidRDefault="004061C4" w:rsidP="00BA35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9AB">
              <w:rPr>
                <w:rFonts w:ascii="Times New Roman" w:hAnsi="Times New Roman"/>
                <w:sz w:val="24"/>
                <w:szCs w:val="24"/>
              </w:rPr>
              <w:t>Мониторинг предпочтений туристов, активизация продвижения Муромцевского муниципального района на туристических рынках</w:t>
            </w:r>
          </w:p>
        </w:tc>
      </w:tr>
    </w:tbl>
    <w:p w:rsidR="00030DB0" w:rsidRDefault="00030DB0"/>
    <w:sectPr w:rsidR="00030DB0" w:rsidSect="000F67FE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00AE1"/>
    <w:multiLevelType w:val="hybridMultilevel"/>
    <w:tmpl w:val="BB8C8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02B90"/>
    <w:multiLevelType w:val="multilevel"/>
    <w:tmpl w:val="D504A9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>
    <w:nsid w:val="474A25BC"/>
    <w:multiLevelType w:val="multilevel"/>
    <w:tmpl w:val="E8907C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">
    <w:nsid w:val="496C7CAC"/>
    <w:multiLevelType w:val="multilevel"/>
    <w:tmpl w:val="39863B1E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4">
    <w:nsid w:val="4B1C43EA"/>
    <w:multiLevelType w:val="multilevel"/>
    <w:tmpl w:val="E8907C4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587B3B8B"/>
    <w:multiLevelType w:val="multilevel"/>
    <w:tmpl w:val="E8907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6">
    <w:nsid w:val="66A23461"/>
    <w:multiLevelType w:val="hybridMultilevel"/>
    <w:tmpl w:val="BC50FA4E"/>
    <w:lvl w:ilvl="0" w:tplc="52AADCF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3845346"/>
    <w:multiLevelType w:val="multilevel"/>
    <w:tmpl w:val="ECA286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1C4"/>
    <w:rsid w:val="00030DB0"/>
    <w:rsid w:val="000F67FE"/>
    <w:rsid w:val="004061C4"/>
    <w:rsid w:val="00415635"/>
    <w:rsid w:val="0077451B"/>
    <w:rsid w:val="009D6D49"/>
    <w:rsid w:val="00B15B7E"/>
    <w:rsid w:val="00BA3584"/>
    <w:rsid w:val="00D96856"/>
    <w:rsid w:val="00E5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61C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061C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61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4061C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6965D7B2E0C84C6FB26697DF00CCD97767BC899244D64E9285CFCC1DE0752CDB588E272F9CF013FF38DA6y2B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6912</Words>
  <Characters>39404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Martynova</dc:creator>
  <cp:lastModifiedBy>Martynova</cp:lastModifiedBy>
  <cp:revision>2</cp:revision>
  <dcterms:created xsi:type="dcterms:W3CDTF">2026-02-27T06:23:00Z</dcterms:created>
  <dcterms:modified xsi:type="dcterms:W3CDTF">2026-02-27T06:23:00Z</dcterms:modified>
</cp:coreProperties>
</file>